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威海市“卡脖子攻关贷”及“研发损失保险”产品需求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首批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拟中榜合作机构名单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4"/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产品需求</w:t>
            </w:r>
          </w:p>
        </w:tc>
        <w:tc>
          <w:tcPr>
            <w:tcW w:w="9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拟</w:t>
            </w:r>
            <w:r>
              <w:rPr>
                <w:rFonts w:hint="default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中榜</w:t>
            </w: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合作机构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36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卡脖子攻关贷</w:t>
            </w:r>
          </w:p>
        </w:tc>
        <w:tc>
          <w:tcPr>
            <w:tcW w:w="9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中国银行股份有限公司威海分行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中国建设银行股份有限公司威海分行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36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9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上海浦东发展银行</w:t>
            </w:r>
            <w:r>
              <w:rPr>
                <w:rFonts w:hint="default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股份有限公司威海分行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3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44"/>
                <w:szCs w:val="44"/>
                <w:shd w:val="clear" w:color="auto" w:fill="FFFFFF"/>
                <w:lang w:val="en-US" w:eastAsia="zh-CN" w:bidi="ar"/>
              </w:rPr>
              <w:t>研发损失保险</w:t>
            </w:r>
          </w:p>
        </w:tc>
        <w:tc>
          <w:tcPr>
            <w:tcW w:w="9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中国人民财产保险股份有限公司威海市分公司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B7BDE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2023-03-02T14:19:32Z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