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威海市“卡脖子攻关贷”及“研发损失保险”产品需求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首批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拟中榜合作机构名单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9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产品需求</w:t>
            </w:r>
          </w:p>
        </w:tc>
        <w:tc>
          <w:tcPr>
            <w:tcW w:w="9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拟</w:t>
            </w:r>
            <w:r>
              <w:rPr>
                <w:rFonts w:hint="default" w:ascii="CESI黑体-GB2312" w:hAnsi="CESI黑体-GB2312" w:eastAsia="CESI黑体-GB2312" w:cs="CESI黑体-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中榜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合作机构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卡脖子攻关贷</w:t>
            </w:r>
          </w:p>
        </w:tc>
        <w:tc>
          <w:tcPr>
            <w:tcW w:w="9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  <w:t>中国银行股份有限公司威海分行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  <w:t>中国建设银行股份有限公司威海分行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  <w:t>上海浦东发展银行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  <w:t>股份有限公司威海分行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研发损失保险</w:t>
            </w:r>
          </w:p>
        </w:tc>
        <w:tc>
          <w:tcPr>
            <w:tcW w:w="9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  <w:t>中国人民财产保险股份有限公司威海市分公司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7BD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2023-03-02T14:19:32Z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